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5AFAFC" w14:textId="77777777" w:rsidR="003228CD" w:rsidRDefault="006E7541">
      <w:pPr>
        <w:spacing w:after="240"/>
        <w:jc w:val="center"/>
        <w:rPr>
          <w:rFonts w:ascii="Times New Roman" w:eastAsia="Times New Roman" w:hAnsi="Times New Roman" w:cs="Times New Roman"/>
          <w:b/>
          <w:color w:val="000000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000000"/>
        </w:rPr>
        <w:t xml:space="preserve">PROPOSICIÓN </w:t>
      </w:r>
    </w:p>
    <w:p w14:paraId="0F5B98D3" w14:textId="77777777" w:rsidR="003228CD" w:rsidRDefault="006E7541">
      <w:pPr>
        <w:spacing w:after="240"/>
        <w:jc w:val="both"/>
        <w:rPr>
          <w:rFonts w:ascii="Times New Roman" w:eastAsia="Times New Roman" w:hAnsi="Times New Roman" w:cs="Times New Roman"/>
          <w:color w:val="000000"/>
        </w:rPr>
      </w:pPr>
      <w:proofErr w:type="spellStart"/>
      <w:r>
        <w:rPr>
          <w:rFonts w:ascii="Times New Roman" w:eastAsia="Times New Roman" w:hAnsi="Times New Roman" w:cs="Times New Roman"/>
          <w:color w:val="000000"/>
        </w:rPr>
        <w:t>Agreguese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un </w:t>
      </w:r>
      <w:proofErr w:type="spellStart"/>
      <w:r w:rsidR="00DC6D18">
        <w:rPr>
          <w:rFonts w:ascii="Times New Roman" w:eastAsia="Times New Roman" w:hAnsi="Times New Roman" w:cs="Times New Roman"/>
          <w:color w:val="000000"/>
        </w:rPr>
        <w:t>articulo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="00DC6D18">
        <w:rPr>
          <w:rFonts w:ascii="Times New Roman" w:eastAsia="Times New Roman" w:hAnsi="Times New Roman" w:cs="Times New Roman"/>
          <w:color w:val="000000"/>
        </w:rPr>
        <w:t>nuevo al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</w:rPr>
        <w:t xml:space="preserve">Proyecto de Ley estatutaria NÚMERO 314 DE 2019 CÁMARA Y 062 DE 2019 SENADO </w:t>
      </w:r>
      <w:r>
        <w:rPr>
          <w:rFonts w:ascii="Times New Roman" w:eastAsia="Times New Roman" w:hAnsi="Times New Roman" w:cs="Times New Roman"/>
          <w:i/>
          <w:color w:val="000000"/>
        </w:rPr>
        <w:t xml:space="preserve">“Por medio de la cual se modifica y adiciona la Ley Estatutaria 1266 de 2008, y se dictan disposiciones generales del habeas data con relación a la información financiera, crediticia, comercial, de servicios y la proveniente de terceros países y se dictan otras disposiciones” </w:t>
      </w:r>
      <w:r>
        <w:rPr>
          <w:rFonts w:ascii="Times New Roman" w:eastAsia="Times New Roman" w:hAnsi="Times New Roman" w:cs="Times New Roman"/>
          <w:color w:val="000000"/>
        </w:rPr>
        <w:t>el cual quedará así:</w:t>
      </w:r>
    </w:p>
    <w:p w14:paraId="4802931F" w14:textId="588C3030" w:rsidR="003228CD" w:rsidRDefault="00DC6D18" w:rsidP="00DC6D18">
      <w:pPr>
        <w:spacing w:after="24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Articulo Nuevo. Educación Financiera. </w:t>
      </w:r>
      <w:r>
        <w:rPr>
          <w:rFonts w:ascii="Times New Roman" w:eastAsia="Times New Roman" w:hAnsi="Times New Roman" w:cs="Times New Roman"/>
          <w:color w:val="000000"/>
        </w:rPr>
        <w:t>A partir de la</w:t>
      </w:r>
      <w:r w:rsidR="009213F2">
        <w:rPr>
          <w:rFonts w:ascii="Times New Roman" w:eastAsia="Times New Roman" w:hAnsi="Times New Roman" w:cs="Times New Roman"/>
          <w:color w:val="000000"/>
        </w:rPr>
        <w:t xml:space="preserve"> entrada en vigor</w:t>
      </w:r>
      <w:r>
        <w:rPr>
          <w:rFonts w:ascii="Times New Roman" w:eastAsia="Times New Roman" w:hAnsi="Times New Roman" w:cs="Times New Roman"/>
          <w:color w:val="000000"/>
        </w:rPr>
        <w:t xml:space="preserve"> de la presente ley, se crear</w:t>
      </w:r>
      <w:r w:rsidR="009213F2">
        <w:rPr>
          <w:rFonts w:ascii="Times New Roman" w:eastAsia="Times New Roman" w:hAnsi="Times New Roman" w:cs="Times New Roman"/>
          <w:color w:val="000000"/>
        </w:rPr>
        <w:t>á</w:t>
      </w:r>
      <w:r>
        <w:rPr>
          <w:rFonts w:ascii="Times New Roman" w:eastAsia="Times New Roman" w:hAnsi="Times New Roman" w:cs="Times New Roman"/>
          <w:color w:val="000000"/>
        </w:rPr>
        <w:t xml:space="preserve"> la catedra de educación financiera</w:t>
      </w:r>
      <w:r w:rsidR="009213F2">
        <w:rPr>
          <w:rFonts w:ascii="Times New Roman" w:eastAsia="Times New Roman" w:hAnsi="Times New Roman" w:cs="Times New Roman"/>
          <w:color w:val="000000"/>
        </w:rPr>
        <w:t xml:space="preserve"> que incluirá</w:t>
      </w:r>
      <w:r>
        <w:rPr>
          <w:rFonts w:ascii="Times New Roman" w:eastAsia="Times New Roman" w:hAnsi="Times New Roman" w:cs="Times New Roman"/>
          <w:color w:val="000000"/>
        </w:rPr>
        <w:t xml:space="preserve"> la explicación y socialización de </w:t>
      </w:r>
      <w:r w:rsidR="008B2C98" w:rsidRPr="008B2C98">
        <w:rPr>
          <w:rFonts w:ascii="Times New Roman" w:eastAsia="Times New Roman" w:hAnsi="Times New Roman" w:cs="Times New Roman"/>
          <w:color w:val="000000"/>
        </w:rPr>
        <w:t>cómo funciona el dinero</w:t>
      </w:r>
      <w:r w:rsidR="009213F2">
        <w:rPr>
          <w:rFonts w:ascii="Times New Roman" w:eastAsia="Times New Roman" w:hAnsi="Times New Roman" w:cs="Times New Roman"/>
          <w:color w:val="000000"/>
        </w:rPr>
        <w:t>, fundamentos de la presupuestación, introducción a productos y al sistema financiero</w:t>
      </w:r>
      <w:r w:rsidR="008B2C98" w:rsidRPr="008B2C98">
        <w:rPr>
          <w:rFonts w:ascii="Times New Roman" w:eastAsia="Times New Roman" w:hAnsi="Times New Roman" w:cs="Times New Roman"/>
          <w:color w:val="000000"/>
        </w:rPr>
        <w:t>, la inversión de nuestros ahorros a largo plazo</w:t>
      </w:r>
      <w:r w:rsidR="009213F2">
        <w:rPr>
          <w:rFonts w:ascii="Times New Roman" w:eastAsia="Times New Roman" w:hAnsi="Times New Roman" w:cs="Times New Roman"/>
          <w:color w:val="000000"/>
        </w:rPr>
        <w:t>,</w:t>
      </w:r>
      <w:r w:rsidR="008B2C98" w:rsidRPr="008B2C98">
        <w:rPr>
          <w:rFonts w:ascii="Times New Roman" w:eastAsia="Times New Roman" w:hAnsi="Times New Roman" w:cs="Times New Roman"/>
          <w:color w:val="000000"/>
        </w:rPr>
        <w:t xml:space="preserve"> </w:t>
      </w:r>
      <w:r w:rsidR="009213F2">
        <w:rPr>
          <w:rFonts w:ascii="Times New Roman" w:eastAsia="Times New Roman" w:hAnsi="Times New Roman" w:cs="Times New Roman"/>
          <w:color w:val="000000"/>
        </w:rPr>
        <w:t>el</w:t>
      </w:r>
      <w:r w:rsidR="008B2C98" w:rsidRPr="008B2C98">
        <w:rPr>
          <w:rFonts w:ascii="Times New Roman" w:eastAsia="Times New Roman" w:hAnsi="Times New Roman" w:cs="Times New Roman"/>
          <w:color w:val="000000"/>
        </w:rPr>
        <w:t xml:space="preserve"> endeudamiento</w:t>
      </w:r>
      <w:r w:rsidR="009213F2">
        <w:rPr>
          <w:rFonts w:ascii="Times New Roman" w:eastAsia="Times New Roman" w:hAnsi="Times New Roman" w:cs="Times New Roman"/>
          <w:color w:val="000000"/>
        </w:rPr>
        <w:t xml:space="preserve"> y la cultura del cumplimiento de las obligaciones como forma de construir civismo</w:t>
      </w:r>
      <w:r w:rsidR="008B2C98" w:rsidRPr="008B2C98">
        <w:rPr>
          <w:rFonts w:ascii="Times New Roman" w:eastAsia="Times New Roman" w:hAnsi="Times New Roman" w:cs="Times New Roman"/>
          <w:color w:val="000000"/>
        </w:rPr>
        <w:t>.</w:t>
      </w:r>
      <w:r w:rsidR="00DF5917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Ser</w:t>
      </w:r>
      <w:r w:rsidR="009213F2">
        <w:rPr>
          <w:rFonts w:ascii="Times New Roman" w:eastAsia="Times New Roman" w:hAnsi="Times New Roman" w:cs="Times New Roman"/>
          <w:color w:val="000000"/>
        </w:rPr>
        <w:t>á un módulo</w:t>
      </w:r>
      <w:r>
        <w:rPr>
          <w:rFonts w:ascii="Times New Roman" w:eastAsia="Times New Roman" w:hAnsi="Times New Roman" w:cs="Times New Roman"/>
          <w:color w:val="000000"/>
        </w:rPr>
        <w:t xml:space="preserve"> de formación </w:t>
      </w:r>
      <w:r w:rsidR="0043696C">
        <w:rPr>
          <w:rFonts w:ascii="Times New Roman" w:eastAsia="Times New Roman" w:hAnsi="Times New Roman" w:cs="Times New Roman"/>
          <w:color w:val="000000"/>
        </w:rPr>
        <w:t>pedag</w:t>
      </w:r>
      <w:r w:rsidR="009213F2">
        <w:rPr>
          <w:rFonts w:ascii="Times New Roman" w:eastAsia="Times New Roman" w:hAnsi="Times New Roman" w:cs="Times New Roman"/>
          <w:color w:val="000000"/>
        </w:rPr>
        <w:t>ó</w:t>
      </w:r>
      <w:r w:rsidR="0043696C">
        <w:rPr>
          <w:rFonts w:ascii="Times New Roman" w:eastAsia="Times New Roman" w:hAnsi="Times New Roman" w:cs="Times New Roman"/>
          <w:color w:val="000000"/>
        </w:rPr>
        <w:t xml:space="preserve">gica en torno al conocimiento clave de los riesgos y malos </w:t>
      </w:r>
      <w:proofErr w:type="spellStart"/>
      <w:r w:rsidR="0043696C">
        <w:rPr>
          <w:rFonts w:ascii="Times New Roman" w:eastAsia="Times New Roman" w:hAnsi="Times New Roman" w:cs="Times New Roman"/>
          <w:color w:val="000000"/>
        </w:rPr>
        <w:t>habitos</w:t>
      </w:r>
      <w:proofErr w:type="spellEnd"/>
      <w:r w:rsidR="0043696C">
        <w:rPr>
          <w:rFonts w:ascii="Times New Roman" w:eastAsia="Times New Roman" w:hAnsi="Times New Roman" w:cs="Times New Roman"/>
          <w:color w:val="000000"/>
        </w:rPr>
        <w:t xml:space="preserve"> que puedan afectar nuestra </w:t>
      </w:r>
      <w:r w:rsidR="00DF5917">
        <w:rPr>
          <w:rFonts w:ascii="Times New Roman" w:eastAsia="Times New Roman" w:hAnsi="Times New Roman" w:cs="Times New Roman"/>
          <w:color w:val="000000"/>
        </w:rPr>
        <w:t>historia crediticia.</w:t>
      </w:r>
      <w:r w:rsidR="0043696C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14:paraId="152179C8" w14:textId="578E81DB" w:rsidR="00327AE1" w:rsidRPr="00327AE1" w:rsidRDefault="00327AE1" w:rsidP="00DC6D18">
      <w:pPr>
        <w:spacing w:after="24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Parágrafo transitorio.</w:t>
      </w:r>
      <w:r>
        <w:rPr>
          <w:rFonts w:ascii="Times New Roman" w:eastAsia="Times New Roman" w:hAnsi="Times New Roman" w:cs="Times New Roman"/>
          <w:color w:val="000000"/>
        </w:rPr>
        <w:t xml:space="preserve"> El ministerio de educación contará con seis (6) meses para estructurar la cátedra</w:t>
      </w:r>
      <w:r w:rsidR="00226C8F">
        <w:rPr>
          <w:rFonts w:ascii="Times New Roman" w:eastAsia="Times New Roman" w:hAnsi="Times New Roman" w:cs="Times New Roman"/>
          <w:color w:val="000000"/>
        </w:rPr>
        <w:t xml:space="preserve"> de educación financiera </w:t>
      </w:r>
      <w:r w:rsidR="00DC5B22">
        <w:rPr>
          <w:rFonts w:ascii="Times New Roman" w:eastAsia="Times New Roman" w:hAnsi="Times New Roman" w:cs="Times New Roman"/>
          <w:color w:val="000000"/>
        </w:rPr>
        <w:t xml:space="preserve">y la forma de inclusión dentro del pensum escolar de </w:t>
      </w:r>
      <w:r w:rsidR="0025767E">
        <w:rPr>
          <w:rFonts w:ascii="Times New Roman" w:eastAsia="Times New Roman" w:hAnsi="Times New Roman" w:cs="Times New Roman"/>
          <w:color w:val="000000"/>
        </w:rPr>
        <w:t>forma trasversal en primaria y bachillerato.</w:t>
      </w:r>
    </w:p>
    <w:p w14:paraId="25D2D625" w14:textId="77777777" w:rsidR="00DC6D18" w:rsidRDefault="00DC6D18" w:rsidP="00DC6D18">
      <w:pPr>
        <w:spacing w:after="240"/>
        <w:jc w:val="both"/>
        <w:rPr>
          <w:rFonts w:ascii="Times New Roman" w:eastAsia="Times New Roman" w:hAnsi="Times New Roman" w:cs="Times New Roman"/>
          <w:color w:val="000000"/>
        </w:rPr>
      </w:pPr>
    </w:p>
    <w:p w14:paraId="320BC824" w14:textId="77777777" w:rsidR="009213F2" w:rsidRDefault="006E7541" w:rsidP="009213F2">
      <w:pPr>
        <w:spacing w:after="24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Sin otro particular,</w:t>
      </w:r>
    </w:p>
    <w:p w14:paraId="07ADE889" w14:textId="77777777" w:rsidR="009213F2" w:rsidRDefault="009213F2" w:rsidP="009213F2">
      <w:pPr>
        <w:spacing w:after="240"/>
        <w:jc w:val="both"/>
        <w:rPr>
          <w:rFonts w:ascii="Times New Roman" w:eastAsia="Times New Roman" w:hAnsi="Times New Roman" w:cs="Times New Roman"/>
          <w:color w:val="000000"/>
        </w:rPr>
      </w:pPr>
    </w:p>
    <w:p w14:paraId="77FF4EEA" w14:textId="7A93804C" w:rsidR="003228CD" w:rsidRDefault="006E7541" w:rsidP="009213F2">
      <w:pPr>
        <w:spacing w:after="24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noProof/>
        </w:rPr>
        <w:drawing>
          <wp:anchor distT="0" distB="0" distL="114300" distR="114300" simplePos="0" relativeHeight="251658240" behindDoc="0" locked="0" layoutInCell="1" hidden="0" allowOverlap="1" wp14:anchorId="102AD83F" wp14:editId="56B6ACD8">
            <wp:simplePos x="0" y="0"/>
            <wp:positionH relativeFrom="column">
              <wp:posOffset>1760220</wp:posOffset>
            </wp:positionH>
            <wp:positionV relativeFrom="paragraph">
              <wp:posOffset>36195</wp:posOffset>
            </wp:positionV>
            <wp:extent cx="2154555" cy="563880"/>
            <wp:effectExtent l="0" t="0" r="0" b="0"/>
            <wp:wrapTopAndBottom distT="0" dist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54555" cy="5638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18836E55" w14:textId="77777777" w:rsidR="003228CD" w:rsidRDefault="006E7541" w:rsidP="009213F2">
      <w:pPr>
        <w:jc w:val="center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EDWARD DAVID RODRÍGUEZ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RODRÍGUEZ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</w:p>
    <w:p w14:paraId="052C6828" w14:textId="77777777" w:rsidR="003228CD" w:rsidRDefault="006E7541" w:rsidP="009213F2">
      <w:pPr>
        <w:jc w:val="center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REPRESENTANTE A LA CÁMARA POR BOGOTÁ D.C.</w:t>
      </w:r>
    </w:p>
    <w:p w14:paraId="13A47FA1" w14:textId="77777777" w:rsidR="003228CD" w:rsidRDefault="003228CD">
      <w:pPr>
        <w:spacing w:after="240"/>
        <w:jc w:val="both"/>
        <w:rPr>
          <w:rFonts w:ascii="Times New Roman" w:eastAsia="Times New Roman" w:hAnsi="Times New Roman" w:cs="Times New Roman"/>
          <w:color w:val="000000"/>
        </w:rPr>
      </w:pPr>
    </w:p>
    <w:p w14:paraId="28C106B3" w14:textId="77777777" w:rsidR="003228CD" w:rsidRDefault="003228CD">
      <w:pPr>
        <w:spacing w:after="240"/>
        <w:jc w:val="both"/>
        <w:rPr>
          <w:rFonts w:ascii="Times New Roman" w:eastAsia="Times New Roman" w:hAnsi="Times New Roman" w:cs="Times New Roman"/>
          <w:b/>
          <w:color w:val="000000"/>
        </w:rPr>
      </w:pPr>
    </w:p>
    <w:sectPr w:rsidR="003228CD">
      <w:headerReference w:type="default" r:id="rId7"/>
      <w:footerReference w:type="default" r:id="rId8"/>
      <w:pgSz w:w="12240" w:h="15840"/>
      <w:pgMar w:top="1417" w:right="1701" w:bottom="1417" w:left="1701" w:header="695" w:footer="103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7D6269" w14:textId="77777777" w:rsidR="00274F45" w:rsidRDefault="00274F45">
      <w:r>
        <w:separator/>
      </w:r>
    </w:p>
  </w:endnote>
  <w:endnote w:type="continuationSeparator" w:id="0">
    <w:p w14:paraId="24505358" w14:textId="77777777" w:rsidR="00274F45" w:rsidRDefault="00274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C765AB" w14:textId="77777777" w:rsidR="003228CD" w:rsidRDefault="003228CD">
    <w:pPr>
      <w:spacing w:after="200" w:line="276" w:lineRule="auto"/>
      <w:rPr>
        <w:rFonts w:ascii="Calibri" w:eastAsia="Calibri" w:hAnsi="Calibri" w:cs="Calibri"/>
      </w:rPr>
    </w:pPr>
  </w:p>
  <w:p w14:paraId="3C941827" w14:textId="77777777" w:rsidR="003228CD" w:rsidRDefault="006E7541">
    <w:pPr>
      <w:pBdr>
        <w:top w:val="single" w:sz="24" w:space="1" w:color="823B0B"/>
      </w:pBdr>
      <w:tabs>
        <w:tab w:val="center" w:pos="4419"/>
        <w:tab w:val="right" w:pos="8838"/>
      </w:tabs>
      <w:jc w:val="center"/>
      <w:rPr>
        <w:rFonts w:ascii="Arial Narrow" w:eastAsia="Arial Narrow" w:hAnsi="Arial Narrow" w:cs="Arial Narrow"/>
        <w:sz w:val="16"/>
        <w:szCs w:val="16"/>
      </w:rPr>
    </w:pPr>
    <w:r>
      <w:rPr>
        <w:rFonts w:ascii="Arial Narrow" w:eastAsia="Arial Narrow" w:hAnsi="Arial Narrow" w:cs="Arial Narrow"/>
        <w:sz w:val="16"/>
        <w:szCs w:val="16"/>
      </w:rPr>
      <w:t xml:space="preserve"> Honorable Representante Edward David Rodríguez </w:t>
    </w:r>
    <w:proofErr w:type="spellStart"/>
    <w:r>
      <w:rPr>
        <w:rFonts w:ascii="Arial Narrow" w:eastAsia="Arial Narrow" w:hAnsi="Arial Narrow" w:cs="Arial Narrow"/>
        <w:sz w:val="16"/>
        <w:szCs w:val="16"/>
      </w:rPr>
      <w:t>Rodríguez</w:t>
    </w:r>
    <w:proofErr w:type="spellEnd"/>
    <w:r>
      <w:rPr>
        <w:rFonts w:ascii="Arial Narrow" w:eastAsia="Arial Narrow" w:hAnsi="Arial Narrow" w:cs="Arial Narrow"/>
        <w:sz w:val="16"/>
        <w:szCs w:val="16"/>
      </w:rPr>
      <w:t>.</w:t>
    </w:r>
  </w:p>
  <w:p w14:paraId="186F7181" w14:textId="77777777" w:rsidR="003228CD" w:rsidRDefault="006E7541">
    <w:pPr>
      <w:pBdr>
        <w:top w:val="single" w:sz="24" w:space="1" w:color="823B0B"/>
      </w:pBdr>
      <w:tabs>
        <w:tab w:val="center" w:pos="4419"/>
        <w:tab w:val="right" w:pos="8838"/>
      </w:tabs>
      <w:jc w:val="center"/>
      <w:rPr>
        <w:rFonts w:ascii="Arial Narrow" w:eastAsia="Arial Narrow" w:hAnsi="Arial Narrow" w:cs="Arial Narrow"/>
        <w:sz w:val="16"/>
        <w:szCs w:val="16"/>
      </w:rPr>
    </w:pPr>
    <w:r>
      <w:rPr>
        <w:rFonts w:ascii="Arial Narrow" w:eastAsia="Arial Narrow" w:hAnsi="Arial Narrow" w:cs="Arial Narrow"/>
        <w:sz w:val="16"/>
        <w:szCs w:val="16"/>
      </w:rPr>
      <w:t>Cámara de Representantes</w:t>
    </w:r>
  </w:p>
  <w:p w14:paraId="06621378" w14:textId="77777777" w:rsidR="003228CD" w:rsidRDefault="006E7541">
    <w:pPr>
      <w:tabs>
        <w:tab w:val="center" w:pos="4419"/>
        <w:tab w:val="right" w:pos="8838"/>
      </w:tabs>
      <w:jc w:val="center"/>
      <w:rPr>
        <w:rFonts w:ascii="Calibri" w:eastAsia="Calibri" w:hAnsi="Calibri" w:cs="Calibri"/>
      </w:rPr>
    </w:pPr>
    <w:r>
      <w:rPr>
        <w:rFonts w:ascii="Arial Narrow" w:eastAsia="Arial Narrow" w:hAnsi="Arial Narrow" w:cs="Arial Narrow"/>
        <w:sz w:val="16"/>
        <w:szCs w:val="16"/>
      </w:rPr>
      <w:t>Carrera 7 No 8-68, oficina 435 B Tel:  3823793- 3824433- Fax:3823794 Email: edrcamara@gmail.com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A40070" w14:textId="77777777" w:rsidR="00274F45" w:rsidRDefault="00274F45">
      <w:r>
        <w:separator/>
      </w:r>
    </w:p>
  </w:footnote>
  <w:footnote w:type="continuationSeparator" w:id="0">
    <w:p w14:paraId="2ED7652A" w14:textId="77777777" w:rsidR="00274F45" w:rsidRDefault="00274F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C29EAC" w14:textId="77777777" w:rsidR="003228CD" w:rsidRDefault="006E754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  <w:r>
      <w:rPr>
        <w:noProof/>
        <w:color w:val="000000"/>
      </w:rPr>
      <w:drawing>
        <wp:inline distT="0" distB="0" distL="0" distR="0" wp14:anchorId="6F04C93A" wp14:editId="25A8B381">
          <wp:extent cx="2487295" cy="768350"/>
          <wp:effectExtent l="0" t="0" r="0" b="0"/>
          <wp:docPr id="3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87295" cy="7683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</w:rPr>
      <w:t xml:space="preserve">                         </w:t>
    </w:r>
    <w:r>
      <w:rPr>
        <w:noProof/>
        <w:color w:val="000000"/>
      </w:rPr>
      <w:drawing>
        <wp:inline distT="0" distB="0" distL="0" distR="0" wp14:anchorId="53FB1209" wp14:editId="61EFC99F">
          <wp:extent cx="2121535" cy="694690"/>
          <wp:effectExtent l="0" t="0" r="0" b="0"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121535" cy="69469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28CD"/>
    <w:rsid w:val="00226C8F"/>
    <w:rsid w:val="0025767E"/>
    <w:rsid w:val="00274F45"/>
    <w:rsid w:val="002A227E"/>
    <w:rsid w:val="003228CD"/>
    <w:rsid w:val="00327AE1"/>
    <w:rsid w:val="00343893"/>
    <w:rsid w:val="0043696C"/>
    <w:rsid w:val="006E7541"/>
    <w:rsid w:val="00702ADE"/>
    <w:rsid w:val="008B2C98"/>
    <w:rsid w:val="008E4D4A"/>
    <w:rsid w:val="009213F2"/>
    <w:rsid w:val="00DC5B22"/>
    <w:rsid w:val="00DC6D18"/>
    <w:rsid w:val="00DF5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D80C799"/>
  <w15:docId w15:val="{DBF7FE76-CB87-4D4D-9A56-6311869E9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 Gothic" w:eastAsia="Century Gothic" w:hAnsi="Century Gothic" w:cs="Century Gothic"/>
        <w:sz w:val="22"/>
        <w:szCs w:val="22"/>
        <w:lang w:val="es-CO" w:eastAsia="es-ES_tradn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/>
      <w:outlineLvl w:val="0"/>
    </w:pPr>
    <w:rPr>
      <w:b/>
      <w:color w:val="A5A5A5"/>
      <w:sz w:val="28"/>
      <w:szCs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b/>
      <w:color w:val="DDDDDD"/>
      <w:sz w:val="26"/>
      <w:szCs w:val="2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00"/>
      <w:outlineLvl w:val="2"/>
    </w:pPr>
    <w:rPr>
      <w:b/>
      <w:color w:val="DDDDDD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00"/>
      <w:outlineLvl w:val="3"/>
    </w:pPr>
    <w:rPr>
      <w:b/>
      <w:i/>
      <w:color w:val="DDDDDD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outlineLvl w:val="4"/>
    </w:pPr>
    <w:rPr>
      <w:color w:val="6E6E6E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outlineLvl w:val="5"/>
    </w:pPr>
    <w:rPr>
      <w:i/>
      <w:color w:val="6E6E6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bottom w:val="single" w:sz="8" w:space="4" w:color="DDDDDD"/>
      </w:pBdr>
      <w:spacing w:after="300"/>
    </w:pPr>
    <w:rPr>
      <w:color w:val="000000"/>
      <w:sz w:val="52"/>
      <w:szCs w:val="52"/>
    </w:rPr>
  </w:style>
  <w:style w:type="paragraph" w:styleId="Subttulo">
    <w:name w:val="Subtitle"/>
    <w:basedOn w:val="Normal"/>
    <w:next w:val="Normal"/>
    <w:uiPriority w:val="11"/>
    <w:qFormat/>
    <w:rPr>
      <w:i/>
      <w:color w:val="DDDDD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5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Alejandra Navas H</dc:creator>
  <cp:lastModifiedBy>Paola Santos</cp:lastModifiedBy>
  <cp:revision>2</cp:revision>
  <dcterms:created xsi:type="dcterms:W3CDTF">2020-05-04T15:05:00Z</dcterms:created>
  <dcterms:modified xsi:type="dcterms:W3CDTF">2020-05-04T15:05:00Z</dcterms:modified>
</cp:coreProperties>
</file>